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 One)</w:t>
      </w: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u w:val="single"/>
        </w:rPr>
        <w:t>September 30, 2025</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transition period from ____________ to ____________</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001-34471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u w:val="single"/>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(Exact name of registrant as specified in its charter)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Nevada</w:t>
            </w:r>
          </w:p>
        </w:tc>
        <w:tc>
          <w:tcPr>
            <w:tcW w:w="1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75-1564807</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incorporation or organization)</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Identification No.)</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shd w:val="clear" w:color="auto" w:fill="FEFEFE"/>
            <w:noWrap w:val="0"/>
            <w:tcMar>
              <w:top w:w="5" w:type="dxa"/>
              <w:left w:w="5" w:type="dxa"/>
              <w:bottom w:w="15" w:type="dxa"/>
              <w:right w:w="5" w:type="dxa"/>
            </w:tcMar>
            <w:vAlign w:val="top"/>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Second Floor, No. 17, Jinpan Road</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Haikou, Hainan Province, China</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EFEFE"/>
            <w:noWrap w:val="0"/>
            <w:tcMar>
              <w:top w:w="5" w:type="dxa"/>
              <w:left w:w="5" w:type="dxa"/>
              <w:bottom w:w="15" w:type="dxa"/>
              <w:right w:w="5" w:type="dxa"/>
            </w:tcMar>
            <w:vAlign w:val="bottom"/>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570216</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(Address of principal executive offices)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(Zip Code)</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+86-898-6681-1730 (China)</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(Registrant’s telephone number, including area code)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994"/>
        <w:gridCol w:w="187"/>
        <w:gridCol w:w="2994"/>
        <w:gridCol w:w="187"/>
        <w:gridCol w:w="2994"/>
      </w:tblGrid>
      <w:tr>
        <w:tblPrEx>
          <w:tblW w:w="5000" w:type="pct"/>
          <w:tblInd w:w="5" w:type="dxa"/>
          <w:tblCellMar>
            <w:top w:w="0" w:type="dxa"/>
            <w:left w:w="0" w:type="dxa"/>
            <w:bottom w:w="0" w:type="dxa"/>
            <w:right w:w="0" w:type="dxa"/>
          </w:tblCellMar>
        </w:tblPrEx>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 of each class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Trading Symbol(s)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of each exchange on which registered</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CPHI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NYSE American</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and post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725" w:type="dxa"/>
        <w:tblCellMar>
          <w:top w:w="0" w:type="dxa"/>
          <w:left w:w="0" w:type="dxa"/>
          <w:bottom w:w="0" w:type="dxa"/>
          <w:right w:w="0" w:type="dxa"/>
        </w:tblCellMar>
      </w:tblPr>
      <w:tblGrid>
        <w:gridCol w:w="4318"/>
        <w:gridCol w:w="4318"/>
      </w:tblGrid>
      <w:tr>
        <w:tblPrEx>
          <w:tblW w:w="5000" w:type="pct"/>
          <w:tblInd w:w="725" w:type="dxa"/>
          <w:tblCellMar>
            <w:top w:w="0" w:type="dxa"/>
            <w:left w:w="0" w:type="dxa"/>
            <w:bottom w:w="0" w:type="dxa"/>
            <w:right w:w="0" w:type="dxa"/>
          </w:tblCellMar>
        </w:tblPrEx>
        <w:tc>
          <w:tcPr>
            <w:tcW w:w="2500" w:type="pct"/>
            <w:shd w:val="clear" w:color="auto" w:fill="FEFEFE"/>
            <w:noWrap w:val="0"/>
            <w:tcMar>
              <w:top w:w="5" w:type="dxa"/>
              <w:left w:w="72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Large accelerated filer </w:t>
            </w:r>
            <w:r>
              <w:rPr>
                <w:rFonts w:ascii="Times New Roman" w:eastAsia="Times New Roman" w:hAnsi="Times New Roman" w:cs="Times New Roman"/>
                <w:b w:val="0"/>
                <w:bCs w:val="0"/>
                <w:i w:val="0"/>
                <w:iCs w:val="0"/>
                <w:smallCaps w:val="0"/>
                <w:color w:val="000000"/>
                <w:sz w:val="20"/>
                <w:szCs w:val="20"/>
              </w:rPr>
              <w:t>☐</w:t>
            </w:r>
          </w:p>
        </w:tc>
        <w:tc>
          <w:tcPr>
            <w:tcW w:w="25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Accelerated filer </w:t>
            </w:r>
            <w:r>
              <w:rPr>
                <w:rFonts w:ascii="Times New Roman" w:eastAsia="Times New Roman" w:hAnsi="Times New Roman" w:cs="Times New Roman"/>
                <w:b w:val="0"/>
                <w:bCs w:val="0"/>
                <w:i w:val="0"/>
                <w:iCs w:val="0"/>
                <w:smallCaps w:val="0"/>
                <w:color w:val="000000"/>
                <w:sz w:val="20"/>
                <w:szCs w:val="20"/>
              </w:rPr>
              <w:t>☐</w:t>
            </w:r>
          </w:p>
        </w:tc>
      </w:tr>
      <w:tr>
        <w:tblPrEx>
          <w:tblW w:w="5000" w:type="pct"/>
          <w:tblInd w:w="725" w:type="dxa"/>
          <w:tblCellMar>
            <w:top w:w="0" w:type="dxa"/>
            <w:left w:w="0" w:type="dxa"/>
            <w:bottom w:w="0" w:type="dxa"/>
            <w:right w:w="0" w:type="dxa"/>
          </w:tblCellMar>
        </w:tblPrEx>
        <w:tc>
          <w:tcPr>
            <w:shd w:val="clear" w:color="auto" w:fill="FEFEFE"/>
            <w:noWrap w:val="0"/>
            <w:tcMar>
              <w:top w:w="5" w:type="dxa"/>
              <w:left w:w="72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Non-accelerated filer </w:t>
            </w:r>
            <w:r>
              <w:rPr>
                <w:rFonts w:ascii="Times New Roman" w:eastAsia="Times New Roman" w:hAnsi="Times New Roman" w:cs="Times New Roman"/>
                <w:b w:val="0"/>
                <w:bCs w:val="0"/>
                <w:i w:val="0"/>
                <w:iCs w:val="0"/>
                <w:smallCaps w:val="0"/>
                <w:color w:val="000000"/>
                <w:sz w:val="20"/>
                <w:szCs w:val="20"/>
              </w:rPr>
              <w:t>☒</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Smaller reporting company </w:t>
            </w:r>
            <w:r>
              <w:rPr>
                <w:rFonts w:ascii="Times New Roman" w:eastAsia="Times New Roman" w:hAnsi="Times New Roman" w:cs="Times New Roman"/>
                <w:b w:val="0"/>
                <w:bCs w:val="0"/>
                <w:i w:val="0"/>
                <w:iCs w:val="0"/>
                <w:smallCaps w:val="0"/>
                <w:color w:val="000000"/>
                <w:sz w:val="20"/>
                <w:szCs w:val="20"/>
              </w:rPr>
              <w:t>☒</w:t>
            </w:r>
          </w:p>
        </w:tc>
      </w:tr>
      <w:tr>
        <w:tblPrEx>
          <w:tblW w:w="5000" w:type="pct"/>
          <w:tblInd w:w="72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Emerging growth company </w:t>
            </w: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November 10, 2025, there were 5,022,002 shares of common stock, $0.01 par value per share, issued and outstanding.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48"/>
        <w:gridCol w:w="7858"/>
        <w:gridCol w:w="748"/>
      </w:tblGrid>
      <w:tr>
        <w:tblPrEx>
          <w:tblW w:w="5000" w:type="pct"/>
          <w:tblInd w:w="5" w:type="dxa"/>
          <w:tblCellMar>
            <w:top w:w="0" w:type="dxa"/>
            <w:left w:w="0" w:type="dxa"/>
            <w:bottom w:w="0" w:type="dxa"/>
            <w:right w:w="0" w:type="dxa"/>
          </w:tblCellMar>
        </w:tblPrEx>
        <w:tc>
          <w:tcPr>
            <w:gridSpan w:val="2"/>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1" w:history="1">
              <w:r>
                <w:rPr>
                  <w:rFonts w:ascii="Times New Roman" w:eastAsia="Times New Roman" w:hAnsi="Times New Roman" w:cs="Times New Roman"/>
                  <w:b/>
                  <w:bCs/>
                  <w:i w:val="0"/>
                  <w:iCs w:val="0"/>
                  <w:smallCaps w:val="0"/>
                  <w:color w:val="0000EE"/>
                  <w:sz w:val="20"/>
                  <w:szCs w:val="20"/>
                  <w:u w:val="single" w:color="0000EE"/>
                </w:rPr>
                <w:t>PART I FINANCIAL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2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2" w:history="1">
              <w:r>
                <w:rPr>
                  <w:rFonts w:ascii="Times New Roman" w:eastAsia="Times New Roman" w:hAnsi="Times New Roman" w:cs="Times New Roman"/>
                  <w:b w:val="0"/>
                  <w:bCs w:val="0"/>
                  <w:i w:val="0"/>
                  <w:iCs w:val="0"/>
                  <w:smallCaps w:val="0"/>
                  <w:color w:val="0000EE"/>
                  <w:sz w:val="20"/>
                  <w:szCs w:val="20"/>
                  <w:u w:val="single" w:color="0000EE"/>
                </w:rPr>
                <w:t>Financial Statements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3"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4"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6" w:history="1">
              <w:r>
                <w:rPr>
                  <w:rFonts w:ascii="Times New Roman" w:eastAsia="Times New Roman" w:hAnsi="Times New Roman" w:cs="Times New Roman"/>
                  <w:b/>
                  <w:bCs/>
                  <w:i w:val="0"/>
                  <w:iCs w:val="0"/>
                  <w:smallCaps w:val="0"/>
                  <w:color w:val="0000EE"/>
                  <w:sz w:val="20"/>
                  <w:szCs w:val="20"/>
                  <w:u w:val="single" w:color="0000EE"/>
                </w:rPr>
                <w:t>PART II 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KJ_007"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0" w:name="KJ_001"/>
      <w:bookmarkEnd w:id="0"/>
      <w:r>
        <w:rPr>
          <w:rFonts w:ascii="Times New Roman" w:eastAsia="Times New Roman" w:hAnsi="Times New Roman" w:cs="Times New Roman"/>
          <w:b/>
          <w:bCs/>
          <w:i w:val="0"/>
          <w:iCs w:val="0"/>
          <w:smallCaps w:val="0"/>
          <w:sz w:val="20"/>
          <w:szCs w:val="20"/>
        </w:rPr>
        <w:t>PART I – FINANCIAL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KJ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8692"/>
        <w:gridCol w:w="483"/>
      </w:tblGrid>
      <w:tr>
        <w:tblPrEx>
          <w:tblW w:w="5000" w:type="pct"/>
          <w:tblInd w:w="185" w:type="dxa"/>
          <w:tblCellMar>
            <w:top w:w="0" w:type="dxa"/>
            <w:left w:w="0" w:type="dxa"/>
            <w:bottom w:w="0" w:type="dxa"/>
            <w:right w:w="0" w:type="dxa"/>
          </w:tblCellMar>
        </w:tblPrEx>
        <w:tc>
          <w:tcPr>
            <w:tcW w:w="4500" w:type="pct"/>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val="0"/>
                  <w:bCs w:val="0"/>
                  <w:i w:val="0"/>
                  <w:iCs w:val="0"/>
                  <w:smallCaps w:val="0"/>
                  <w:color w:val="0000EE"/>
                  <w:sz w:val="20"/>
                  <w:szCs w:val="20"/>
                  <w:u w:val="single" w:color="0000EE"/>
                </w:rPr>
                <w:t>Condensed Consolidated Balance Sheets as of September 30, 2025 and December 31, 2024 (Unaudited)</w:t>
              </w:r>
            </w:hyperlink>
          </w:p>
        </w:tc>
        <w:tc>
          <w:tcPr>
            <w:tcW w:w="2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Operations and Comprehensive Loss for the Three and Nine Months Ended September 30, 2025 and 2024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Stockholders’ Equity for the Nine Months Ended September 30, 2025 and 2024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Cash Flows for the Nine Months Ended September 30, 2025 and 2024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Notes to Condensed Consolidated Financial Statements (Unaudited)</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 w:name="a_001"/>
      <w:bookmarkEnd w:id="2"/>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266"/>
        <w:gridCol w:w="81"/>
        <w:gridCol w:w="137"/>
        <w:gridCol w:w="1233"/>
        <w:gridCol w:w="93"/>
        <w:gridCol w:w="81"/>
        <w:gridCol w:w="137"/>
        <w:gridCol w:w="1233"/>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267,625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626,879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less allowance for credit losses of $69,876 and $13,587,182,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224,638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receivables, less allowance for credit losses of $32,511 and $28,447,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61,275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23,883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1,649,682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2,266,154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75,627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81,328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2,329,427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3,270,389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plant and equipment,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4,502,479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4,883,401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197,851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38,298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8,775,036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6,695,436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ASSETS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15,804,793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14,887,524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588,739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225,106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170,426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247,159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2,303,183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2,182,982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120,912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162,208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from related parties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1,413,340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1,144,985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70,326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39,323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portion of lines of credit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1,955,880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1,015,525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6,622,806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5,017,288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Lines of credit, net of current portion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1,391,130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net of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128,257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liability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739,733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731,202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7,490,796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7,139,620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Commitments and Contingencies (Note 13)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Preferred stock, $0.001 par value; 5,000,000 shares authorized;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shares issued or outstanding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$0.001 par value; 500,000,000 shares authorized;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5,022,002 shares and 3,261,911 shares issued and outstanding,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43,076,319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40,631,679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Securities purchase agreement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(45,992,100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(44,026,679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other comprehensive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11,404,756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11,319,642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Stockholders’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8,313,997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7,747,904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 AND STOCKHOLDERS’ EQUITY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15,804,793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14,887,524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3" w:name="a_002"/>
      <w:bookmarkEnd w:id="3"/>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AND COMPREHENSIVE LOSS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819"/>
        <w:gridCol w:w="69"/>
        <w:gridCol w:w="137"/>
        <w:gridCol w:w="1028"/>
        <w:gridCol w:w="92"/>
        <w:gridCol w:w="69"/>
        <w:gridCol w:w="137"/>
        <w:gridCol w:w="1106"/>
        <w:gridCol w:w="92"/>
        <w:gridCol w:w="69"/>
        <w:gridCol w:w="137"/>
        <w:gridCol w:w="1106"/>
        <w:gridCol w:w="92"/>
        <w:gridCol w:w="69"/>
        <w:gridCol w:w="137"/>
        <w:gridCol w:w="1106"/>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Revenue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756,217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1,100,152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2,918,271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3,394,934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815,871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1,619,801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3,200,996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5,219,993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Gross loss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(59,654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(519,649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(282,725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(1,825,059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78,041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134,603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266,444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354,245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424,827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345,051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1,372,843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925,377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40,321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90,860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283,395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Credit losses (reversal of allowance for credit losses)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25,302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568,491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565,608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1,756,158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1,567,771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(628,145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(1,085,257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(2,038,883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(3,392,830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income (expense):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subsidy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151,105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income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(24,046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(34,114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(79,433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(124,409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other (expense)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(23,337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73,462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(651,482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(1,965,421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(651,482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(1,965,421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comprehensive income - 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57,335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85,114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70,561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loss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(594,147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(980,273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(1,880,307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(3,441,372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Loss per share: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and diluted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shares 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3,874,085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1,730,672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3,468,211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1,559,347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4" w:name="a_003"/>
      <w:bookmarkEnd w:id="4"/>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STOCKHOLDERS’ EQUITY</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595"/>
        <w:gridCol w:w="15"/>
        <w:gridCol w:w="15"/>
        <w:gridCol w:w="1028"/>
        <w:gridCol w:w="15"/>
        <w:gridCol w:w="15"/>
        <w:gridCol w:w="152"/>
        <w:gridCol w:w="644"/>
        <w:gridCol w:w="15"/>
        <w:gridCol w:w="15"/>
        <w:gridCol w:w="137"/>
        <w:gridCol w:w="1155"/>
        <w:gridCol w:w="15"/>
        <w:gridCol w:w="15"/>
        <w:gridCol w:w="137"/>
        <w:gridCol w:w="1233"/>
        <w:gridCol w:w="88"/>
        <w:gridCol w:w="15"/>
        <w:gridCol w:w="167"/>
        <w:gridCol w:w="1409"/>
        <w:gridCol w:w="88"/>
        <w:gridCol w:w="15"/>
        <w:gridCol w:w="151"/>
        <w:gridCol w:w="1217"/>
        <w:gridCol w:w="88"/>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December 31,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35,291,818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449,881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1,364,700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March 31,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1,481,688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37,106,399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(40,246,206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11,430,479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8,292,154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234,592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599,765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June 30,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37,706,164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(41,684,336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11,384,977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7,408,522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69,687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September 30, 2024</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1,785,967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1,786</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37,806,095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(42,802,247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11,522,615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6,528,249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508"/>
        <w:gridCol w:w="15"/>
        <w:gridCol w:w="15"/>
        <w:gridCol w:w="1028"/>
        <w:gridCol w:w="15"/>
        <w:gridCol w:w="15"/>
        <w:gridCol w:w="152"/>
        <w:gridCol w:w="644"/>
        <w:gridCol w:w="15"/>
        <w:gridCol w:w="15"/>
        <w:gridCol w:w="137"/>
        <w:gridCol w:w="1155"/>
        <w:gridCol w:w="15"/>
        <w:gridCol w:w="15"/>
        <w:gridCol w:w="84"/>
        <w:gridCol w:w="1041"/>
        <w:gridCol w:w="88"/>
        <w:gridCol w:w="15"/>
        <w:gridCol w:w="137"/>
        <w:gridCol w:w="1233"/>
        <w:gridCol w:w="88"/>
        <w:gridCol w:w="15"/>
        <w:gridCol w:w="167"/>
        <w:gridCol w:w="1409"/>
        <w:gridCol w:w="15"/>
        <w:gridCol w:w="15"/>
        <w:gridCol w:w="161"/>
        <w:gridCol w:w="1207"/>
        <w:gridCol w:w="88"/>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Securities</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Purchase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Agreement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Receivable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15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December 31,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3,261,911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40,631,679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(44,026,679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11,319,642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7,747,904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(785,572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(785,572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March 31,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3,261,911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40,631,679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(44,812,251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11,327,158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6,969,848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 rounding due to reverse split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 *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(528,367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(528,367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June 30,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3,262,002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40,631,679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(45,340,618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11,347,421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6,461,744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2,444,640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2,446,400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(651,482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(651,482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57,335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57,335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as of September 30, 2025</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5,022,002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5,022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43,076,319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(180,000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(45,992,100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11,404,756</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8,313,997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10"/>
        <w:gridCol w:w="360"/>
        <w:gridCol w:w="8890"/>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than 1.</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5" w:name="a_004"/>
      <w:bookmarkEnd w:id="5"/>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CASH FLOWS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512"/>
        <w:gridCol w:w="85"/>
        <w:gridCol w:w="137"/>
        <w:gridCol w:w="1106"/>
        <w:gridCol w:w="93"/>
        <w:gridCol w:w="85"/>
        <w:gridCol w:w="137"/>
        <w:gridCol w:w="1106"/>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(1,965,421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1,006,210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2,169,993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Credit losses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write off</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506,879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463,984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assets and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and other receivables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(302,727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379,210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358,050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(578,163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 and 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(297,916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(42,835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(65,606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(2,720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(3,729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(704,836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Purchases of property and equipment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(58,870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(18,866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for intangible assets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(72,614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Investing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(131,484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(18,866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Payments of line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(474,932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lines of credit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and interest from related party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253,497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20,551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Provided By Financing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(221,435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20,551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Effect of Exchange Rate Changes on Cash</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Increase in Cash and Cash Equivalents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(359,254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(705,147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 at Beginning of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626,879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and Cash Equivalents at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267,625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718,691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Cash Flow Information: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interest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59,040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65,468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Noncash Investing and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Issuances of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2,446,400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Assets obtained in exchange for operating lease obligations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214,070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6" w:name="a_005"/>
      <w:bookmarkEnd w:id="6"/>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ORGANIZATION AND SIGNIFICANT ACCOUNTING POLICIES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Organization and Nature of Operations – </w:t>
      </w:r>
      <w:r>
        <w:rPr>
          <w:rFonts w:ascii="Times New Roman" w:eastAsia="Times New Roman" w:hAnsi="Times New Roman" w:cs="Times New Roman"/>
          <w:b w:val="0"/>
          <w:bCs w:val="0"/>
          <w:i w:val="0"/>
          <w:iCs w:val="0"/>
          <w:smallCaps w:val="0"/>
          <w:sz w:val="20"/>
          <w:szCs w:val="20"/>
        </w:rPr>
        <w:t>China Pharma Holdings, Inc., a Nevada corporation (“China Pharma”), owns 100% of Onny Investment Limited (“Onny”), a British Virgin Islands corporation, which owns 100% of Hainan Helpson Medical &amp; Biotechnology Co., Ltd (“Helpson”), a company organized under the laws of the People’s Republic of China (the “PRC”). China Pharma Holdings, Inc. and its subsidiaries are referred to herein as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Wholly Foreign Owned Enterprise (“WFOE”) status on June 21, 2005.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is principally engaged in the development, manufacture and marketing of pharmaceutical products for human use in connection with a variety of high-incidence and high-mortality diseases and medical conditions prevalent in the PRC. All of its operations are conducted in the PRC, where its manufacturing facilities are located. Helpson manufactures pharmaceutical products in the form of dry powder injectables, liquid injectables, tablets, capsules, and cephalosporin oral solutions. The majority of its pharmaceutical products are sold on a prescription basis and all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Liquidity and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2025, the Company had cash and cash equivalents of $0.3 million and an accumulated deficit of $46.0 million and the Company’s current liabilities exceeded current assets by $4.3 million. In addition, the Company had incurred net losses of $2.0 million and had cash outflows from operating activities of 3,729 for the nine months ended September 30, 2025. The Company’s Chairperson, Chief Executive Officer and Interim Chief Financial Officer Ms. Li has advanced an additional $0.27 million during fiscal 2025 for an aggregate of $1,413,340 as of September 30, 2025 to provide working capital and enabled the Company to make the required payments related to its former construction loan facility and current lines of credit. The Company anticipates operating losses to continue for the foreseeable future due to, among other things, costs related to the production of its existing products, debt service costs and selling and administrative costs. These conditions raise substantial doubt about its ability to continue as a going concern within one year after the date that the financial statements are issued. 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nutrition products. In addition, management believes that the Company’s existing property, plant and equipment can serve as collateral to support additional bank loans. The Company will implement multiple measures simultaneously across procurement, production, human resources, and marketing to reduce operating costs. In procurement, the Company will consolidate purchasing activities where practical to enhance bargaining power with suppliers. In production, operations will be optimized through approaches such as centralized manufacturing cycles and shifting energy-intensive processes to off-peak hours to reduce power costs. Production personnel will be deployed efficiently to minimize labor expenses while maintaining quality standards. In human resources, the Company will optimize staffing levels and implement targeted incentives to improve work efficiency and output quality, thereby controlling labor costs. Marketing expenditures will be focused on high-return channels through data-driven targeting and channel optimization. Additionally, the Company will enhance employee training in production techniques and cost management principles, fostering a culture of cost awareness throughout the organization. Management believes that, if successfully implemented, these measures may improve the Company’s cash position and allow the Company to fund its operations in the next twelve months, however, there can be no assurance that the Company will be able to fully execute the planned initiatives, achieve its strategic alternatives, and resolve the conditions raising substantial doubt about its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Pursuant to the requirements of Accounting Standards Codification (ASC) 205-40, </w:t>
      </w:r>
      <w:r>
        <w:rPr>
          <w:rFonts w:ascii="Times New Roman" w:eastAsia="Times New Roman" w:hAnsi="Times New Roman" w:cs="Times New Roman"/>
          <w:b w:val="0"/>
          <w:bCs w:val="0"/>
          <w:i/>
          <w:iCs/>
          <w:smallCaps w:val="0"/>
          <w:sz w:val="20"/>
          <w:szCs w:val="20"/>
        </w:rPr>
        <w:t>Disclosure of Uncertainties about an Entity’s Ability to Continue as a Going Concern</w:t>
      </w:r>
      <w:r>
        <w:rPr>
          <w:rFonts w:ascii="Times New Roman" w:eastAsia="Times New Roman" w:hAnsi="Times New Roman" w:cs="Times New Roman"/>
          <w:b w:val="0"/>
          <w:bCs w:val="0"/>
          <w:i w:val="0"/>
          <w:iCs w:val="0"/>
          <w:smallCaps w:val="0"/>
          <w:sz w:val="20"/>
          <w:szCs w:val="20"/>
        </w:rPr>
        <w:t xml:space="preserve"> management must evaluate whether there are conditions or events, considered in the aggregate, that raise substantial doubt about the Company’s ability to continue as a going concern within one year after the date that the financial statements are issued. This evaluation initially does not take into consideration the potential mitigating effect of management’s plans that have not been fully implemented as of the date the financial statements are issued. When substantial doubt exists under this methodology, management evaluates whether the mitigating effect of its plans sufficiently alleviate substantial doubt about the Company’s ability to continue as a going concern. The mitigating effect of management’s plans, however, is only considered if both (1) it is probable that the plans will be effectively implemented within one year after the date that the financial statements are issued, and (2) it is probable that the plans, when implemented, will mitigate the relevant conditions or events that raise substantial doubt about the entity’s ability to continue as a going concern within one year after the date that the financial statements are issued.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ASC 205-40, the strategic alternatives being pursued by the Company cannot be considered probable at this time because none of the Company’s current plans have been finalized at the time of the issuance of these financial statements and the implementation of any such plan is not probable of being effectively implemented as none of the plans are entirely within the Company’s control. Accordingly, substantial doubt is deemed to exist about the Company’s ability to continue as a going concern within one year after the date these financial statements are issued.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unaudited condensed consolidated financial statements have been prepared on a going concern basis, which contemplates the realization of assets and satisfaction of liabilities in the ordinary course of business. The financial statements do not include any adjustments relating to the recoverability and classification of recorded asset amounts or the amounts and classification of liabilities that might result from the outcome of the uncertainties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Reverse Stock Split </w:t>
      </w:r>
      <w:r>
        <w:rPr>
          <w:rFonts w:ascii="Times New Roman" w:eastAsia="Times New Roman" w:hAnsi="Times New Roman" w:cs="Times New Roman"/>
          <w:b w:val="0"/>
          <w:bCs w:val="0"/>
          <w:i w:val="0"/>
          <w:iCs w:val="0"/>
          <w:smallCaps w:val="0"/>
          <w:sz w:val="20"/>
          <w:szCs w:val="20"/>
        </w:rPr>
        <w:t>– Effective April 15, 2025, China Pharma implemented a 1-for -10 reverse stock split as more fully discussed in Note 12.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Consolidation and Basis of Presentation </w:t>
      </w:r>
      <w:r>
        <w:rPr>
          <w:rFonts w:ascii="Times New Roman" w:eastAsia="Times New Roman" w:hAnsi="Times New Roman" w:cs="Times New Roman"/>
          <w:b w:val="0"/>
          <w:bCs w:val="0"/>
          <w:i w:val="0"/>
          <w:iCs w:val="0"/>
          <w:smallCaps w:val="0"/>
          <w:sz w:val="20"/>
          <w:szCs w:val="20"/>
        </w:rPr>
        <w:t>– The accompanying unaudited interim condensed consolidated financial statements have been prepared in accordance with accounting principles generally accepted in the United States of America (“U.S. GAAP”) and are expressed in United States dollars. The accompanying unaudited interim condensed consolidated financial statements include the accounts and operations of the Company and its wholly-owned subsidiaries. All significant intercompany balances and transactions have been eliminated in the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functional currency is the Chinese Renminbi. Helpson’s revenue and expenses are translated into United States dollars at the average exchange rate for the period. Assets and liabilities are translated at the exchange rate as of the end of the reporting period. Gains or losses from translating Helpson’s financial statements are included in accumulated other comprehensive income, which is a component of stockholders’ equity. Gains and losses arising from transactions denominated in a currency other than the functional currency of the entity that is party to the transaction are included in the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opinion of management, the unaudited interim condensed consolidated financial statements reflect all adjustments of a normal recurring nature that are necessary for a fair presentation of the results for the interim periods presented. All significant intercompany transactions and balances are eliminated on consolidation. However, the results of operations included in such financial statements may not necessary be indicative of annual results. Such financial statements should be read in conjunction with the Company’s audited consolidated financial statements and notes thereto included in the Company’s Annual Report on Form 10-K for the year ended December 31, 2024 filed with the Securities and Exchange Commission (the “SEC”) on March 31, 2025 (“2024 Annual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Accounting Estimates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The methodology used to prepare the Company’s financial statements is in conformity with U.S. GAAP, which requires the management of the Company to make estimates and assumptions that affect the reported amounts of assets and liabilities and the disclosures of contingent assets and liabilities at the date of the financial statements, and the reported amounts of revenues and expenses during the reporting periods. Therefore, actual results could differ from those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same accounting policies in preparing its quarterly and annual financial statements. Certain information and footnote disclosures normally included in the annual consolidated financial statements prepared in accordance with U.S. GAAP have been condensed or omitted.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Per Share</w:t>
      </w:r>
      <w:r>
        <w:rPr>
          <w:rFonts w:ascii="Times New Roman" w:eastAsia="Times New Roman" w:hAnsi="Times New Roman" w:cs="Times New Roman"/>
          <w:b/>
          <w:bCs/>
          <w:i w:val="0"/>
          <w:iCs w:val="0"/>
          <w:smallCaps w:val="0"/>
          <w:sz w:val="20"/>
          <w:szCs w:val="20"/>
        </w:rPr>
        <w:t xml:space="preserve"> - </w:t>
      </w:r>
      <w:r>
        <w:rPr>
          <w:rFonts w:ascii="Times New Roman" w:eastAsia="Times New Roman" w:hAnsi="Times New Roman" w:cs="Times New Roman"/>
          <w:b w:val="0"/>
          <w:bCs w:val="0"/>
          <w:i w:val="0"/>
          <w:iCs w:val="0"/>
          <w:smallCaps w:val="0"/>
          <w:sz w:val="20"/>
          <w:szCs w:val="20"/>
        </w:rPr>
        <w:t>Basic loss per share is calculated by dividing loss available to common stockholders by the weighted-average number of shares of common stock outstanding, excluding unvested stock. Diluted loss per share is computed similar to basic loss per share except that the denominator is increased to include the number of additional shares of common stock that would have been outstanding if the potential common shares, including unvested stock, had been issued and if the additional common shares were dilutive.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potentially dilutive common shares related to the option to purchase 1,330 shares of common stock as of September 30, 2025 and 2024 are excluded from the computation of diluted net loss per share for all periods presented because the effect is anti-dilutive due to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Recent Accounting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2024-03, “Income Statement—Reporting Comprehensive Income—Expense Disaggregation Disclosures (Subtopic 220-40): Disaggregation of Income Statement Expenses”. The amendments in this ASU are intended to improve financial reporting by requiring that public business entities disclose additional information about specific expense categories in the notes to financial statements at interim and annual reporting periods. For interim and annual reporting periods, an entity shall disaggregate, in a tabular format disclosure in the notes to financial statements, all relevant expense captions presented on the face of the income statement in continuing operations into the purchases of inventory, employee compensation, depreciation, amortization, and depletion. This ASU is effective for annual reporting periods beginning after December 15, 2026, and interim reporting periods beginning after December 15, 2027. Early adoption is permitted. The amendments in this Update should be applied either (1) prospectively to financial statements issued for reporting periods after the effective date of this Update or (2) retrospectively to any or all prior periods presented in the financial statements. In January 2025, the Financial Accounting Standards Board (“FASB”) issued Accounting Standards Update (“ASU”) 2025-01 — Income Statement — Reporting Comprehensive Income — Expense Disaggregation Disclosures (Subtopic 220-40): Clarifying the Effective Date. This ASU amends the effective date of Update 2024-03 to clarify that all public business entities are required to adopt the guidance in annual reporting periods beginning after December 15, 2026, and interim periods within annual reporting periods beginning after December 15, 2027. We are currently evaluating the impact the adoption of ASU 2024-03 will have on its consolidated financial statements and related disclosures. We do not expect the adoption of this accounting standard to have an impact on our Consolidated Financial Statements but will require certain additional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2024-04, Debt—Debt with Conversion and Other Options (Subtopic 470-20): Induced Conversions of Convertible Debt Instruments. The ASU provides additional guidance on whether induced conversion or extinguishment accounting should be applied to certain settlements of convertible debt instruments that do not occur in accordance with the instruments’ preexisting terms. The ASU requires entities to apply a preexisting contract approach. To qualify for induced conversion accounting under this approach, the inducement offer is required to preserve the form of consideration and result in an amount of consideration that is no less than that issuable pursuant to the preexisting conversion privileges. ASU 2024-04 clarifies how entities should assess the form and amount of consideration when applying this approach. In addition, the new ASU clarifies that induced conversion accounting can be applied to settlements of certain convertible debt instruments that are not currently convertible as long as the instrument contained a substantive conversion feature as of both its issuance date and the inducement offer acceptance date. The amendments in the ASU are effective for annual reporting periods beginning after December 15, 2025, and interim reporting periods within those annual reporting periods. Early adoption is permitted. We are currently evaluating the impact the adoption of ASU 2024-04 will have on its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January 2025, the Financial Accounting Standards Board (“FASB”) issued Accounting Standards Update (“ASU”) 2025-01 — Income Statement — Reporting Comprehensive Income — Expense Disaggregation Disclosures (Subtopic 220-40): Clarifying the Effective Date. This ASU amends the effective date of Update 2024-03 to clarify that all public business entities are required to adopt the guidance in annual reporting periods beginning after December 15, 2026, and interim periods within annual reporting periods beginning after December 15, 2027. Early adoption is permitted. We are currently evaluating the impact the adoption of ASU 2025-01 will have on its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2025, the FASB issued ASU 2025-05, which amends ASC 326-20 to provide a practical expedient (for all entities) and an accounting policy election (for all entities, other than public business entities, that elect the practical expedient) related to the estimation of expected credit losses for current accounts receivable and current contract assets that arise from transactions accounted for under ASC 606. The Board developed the new guidance in conjunction with the Private Company Council to address concerns from stakeholders that estimating expected credit losses can be costly and complex for such transactions. ASU 2025-05 is effective for annual reporting periods beginning after December 15, 2025, and interim reporting periods within those annual reporting periods, with early adoption permitted. Entities should apply the new guidance prospectively. The Company expects the adoption on this ASU will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18, 2025, the FASB issued Accounting Standards Update (ASU) 2025-06, Intangibles—Goodwill and Other—Internal-Use Software (Subtopic 350-40): Targeted Improvements to the Accounting for Internal-Use Software. ASU 2025-06 modernizes the accounting for internal-use software (the existing internal-use software guidance does not contemplate more current methods of software development). The amendments in ASU 2025-06 are limited and focused on the key challenge that entities face in applying FASB Accounting Standards Codification (FASB ASC) 350-40—applying that guidance to software that is developed using modern, iterative approaches such as Agile, DevOps, and continuous-deployment models that do not fit neatly into the legacy “preliminary-project / application-development / post-implementation” stages described in today’s Subtopic 350-40.The amendments in this Update are effective for all entities for annual reporting periods beginning after December 15, 2027, and interim reporting periods within those annual reporting periods. Early adoption is permitted as of the beginning of an annual reporting period. The Company expects the adoption on this ASU will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FASB or other standards setting bodies issue new accounting pronouncements. Updates to the FASB ASC are communicated through issuance of ASUs. Unless otherwise discussed, the Company believes that the recently issued guidance, whether adopted or to be adopted in the future, is not expected to have a material impact on its consolidated financial statements upon adoption.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2 – ACCOUNTS RECEIVABLE, NET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Accounts receivable, net, consist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512"/>
        <w:gridCol w:w="86"/>
        <w:gridCol w:w="157"/>
        <w:gridCol w:w="958"/>
        <w:gridCol w:w="93"/>
        <w:gridCol w:w="86"/>
        <w:gridCol w:w="137"/>
        <w:gridCol w:w="1233"/>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294,514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13,819,322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allowance for credit losses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(13,587,182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224,638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232,140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allowance for credit losses estimate practice using the current expected credit loss method is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are between 180 days and 365 days old, 70% of accounts receivable that are between 365 days and 720 days old, and 100% of accounts receivable that are greater than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credit losses per actual write-offs as well as changes of allowance for credit losses. To the extent that our current allowance for credit losses is higher than that of the previous period, we recognize a credit loss for the difference during the current period, and when the current credit losses are lower than that of the previous period, we recognize a gain from the reversal of the allowance for credit losses for the difference. The allowance for credit losses balances were $0.070 million and $13.59 million as of September 30, 2025 and December 31, 2024, respectively. The changes in the allowances for credit losses during the three and nine months ended September 30,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438"/>
        <w:gridCol w:w="63"/>
        <w:gridCol w:w="137"/>
        <w:gridCol w:w="1233"/>
        <w:gridCol w:w="91"/>
        <w:gridCol w:w="63"/>
        <w:gridCol w:w="137"/>
        <w:gridCol w:w="1155"/>
        <w:gridCol w:w="91"/>
        <w:gridCol w:w="63"/>
        <w:gridCol w:w="137"/>
        <w:gridCol w:w="1233"/>
        <w:gridCol w:w="91"/>
        <w:gridCol w:w="63"/>
        <w:gridCol w:w="137"/>
        <w:gridCol w:w="1155"/>
        <w:gridCol w:w="6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13,644,006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13,587,182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Credit losses (reversal of allowance for credit losses)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25,302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charged to allowance for credit lossed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(13,702,032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(13,702,032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231,222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158,715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144,815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INVENTORIES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Inventories consisted of the following:</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588"/>
        <w:gridCol w:w="86"/>
        <w:gridCol w:w="137"/>
        <w:gridCol w:w="1106"/>
        <w:gridCol w:w="93"/>
        <w:gridCol w:w="86"/>
        <w:gridCol w:w="137"/>
        <w:gridCol w:w="1028"/>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Raw materials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768,352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880,571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Work in process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443,898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340,404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Finished goods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1,529,267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1,619,250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2,741,517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2,840,225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Provision for obsolescence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(1,091,835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(574,071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1,649,682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2,266,154</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Changes to the provision for obsolescence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484"/>
        <w:gridCol w:w="86"/>
        <w:gridCol w:w="137"/>
        <w:gridCol w:w="1028"/>
        <w:gridCol w:w="86"/>
        <w:gridCol w:w="86"/>
        <w:gridCol w:w="137"/>
        <w:gridCol w:w="841"/>
        <w:gridCol w:w="86"/>
        <w:gridCol w:w="86"/>
        <w:gridCol w:w="86"/>
        <w:gridCol w:w="1028"/>
        <w:gridCol w:w="86"/>
        <w:gridCol w:w="86"/>
        <w:gridCol w:w="86"/>
        <w:gridCol w:w="841"/>
        <w:gridCol w:w="86"/>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At the beginning of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1,000,888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481,182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574,071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129,420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Charges to provision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83,947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112,156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506,879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463,984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Exchange rate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10,885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8,134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At the end of the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1,091,835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601,538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1,091,835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601,538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PROPERTY, PLANT AND EQUIPMENT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plant and equipment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265"/>
        <w:gridCol w:w="82"/>
        <w:gridCol w:w="137"/>
        <w:gridCol w:w="1233"/>
        <w:gridCol w:w="93"/>
        <w:gridCol w:w="82"/>
        <w:gridCol w:w="137"/>
        <w:gridCol w:w="1233"/>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396,407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391,836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9,205,204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9,099,045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27,206,451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26,835,227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268,350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265,255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396,209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390,434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37,472,621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36,981,797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(32,970,142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(32,098,396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Property, plant and equipment, net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4,502,479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4,883,401</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is computed on a straight-line basis over the estimated useful lives of the assets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765"/>
        <w:gridCol w:w="187"/>
        <w:gridCol w:w="1403"/>
      </w:tblGrid>
      <w:tr>
        <w:tblPrEx>
          <w:tblW w:w="5000" w:type="pct"/>
          <w:tblInd w:w="5" w:type="dxa"/>
          <w:tblCellMar>
            <w:top w:w="0" w:type="dxa"/>
            <w:left w:w="0" w:type="dxa"/>
            <w:bottom w:w="0" w:type="dxa"/>
            <w:right w:w="0" w:type="dxa"/>
          </w:tblCellMar>
        </w:tblPrEx>
        <w:tc>
          <w:tcPr>
            <w:tcW w:w="4150" w:type="pct"/>
            <w:tcBorders>
              <w:bottom w:val="single" w:sz="12" w:space="0" w:color="000000"/>
            </w:tcBorders>
            <w:noWrap/>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w:t>
            </w:r>
          </w:p>
        </w:tc>
        <w:tc>
          <w:tcPr>
            <w:tcW w:w="10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750" w:type="pct"/>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Life - years </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40 - 70</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20 - 49</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Depreciation relating to office equipment was included in general and administrative expenses, while all other depreciation was included in cost of revenue. Depreciation expense was $158,076 and $592,099 for the three months ended September 30, 2025 and 2024, respectively </w:t>
      </w:r>
      <w:r>
        <w:rPr>
          <w:rFonts w:ascii="Times New Roman" w:eastAsia="Times New Roman" w:hAnsi="Times New Roman" w:cs="Times New Roman"/>
          <w:b w:val="0"/>
          <w:bCs w:val="0"/>
          <w:i w:val="0"/>
          <w:iCs w:val="0"/>
          <w:smallCaps w:val="0"/>
          <w:sz w:val="20"/>
          <w:szCs w:val="20"/>
        </w:rPr>
        <w:t>and $493,180 and $1,863,079 for the nine months ended September 30, 2025 and 2024,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represent the cost of medical formulas approved for production by the NMPA, the intellectual property acquired from Chengdu Bonier Medical Technology Development Co., Ltd. through certain Technology Transfer Agreement (“Bonier Agreement”) and the invention patents and intellectual property acquired pursuant to Technology Transfer Agreements in 2024 and 2023. No costs were reclassified from advances to intangible assets during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29, 2025, the Company entered into a Technology Transfer Agreement (the “Yan Yang Agreement”) with Yan Yang (“Transferor Yang”). Transferor Yang owns Apremilast Vector and method for its preparation, which has obtained a patent for the treatment of chronic obstructive pulmonary disease (the “Yang Invention Patent”). Pursuant to the Yan Yang Agreement, Transferor Yang will transfer the ownership of the Yang Invention Patent to Helpson. Transferor Yang or his designated third party shall provide relevant technical services in Haikou, which include but are not limited to product research and development, writing of registration materials, registration application and other technical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transfer price as contemplated by the Yan Yang Agreement is $2.446 million which was paid to the Transferor and his two designees upon the issuance of 1,760,000 shares of common stock of the Company at $1.39 per share based on the closing market price of the Company’s common stock as of the closing date.  The Company recorded the amount as intangible assets on the accompanying balance sheet as of the closing date. The value of the intangible asset will be amortized over its remaining useful life of approximately 15.5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service fees or profit payments paid related to the Bonier Agreement or the Technology Transfer Agreements from 2024 and 2023 for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Approved medical formulas are amortized from the date NMPA approval is obtained over their individually identifiable estimated useful life, which ranges from ten to thirteen years.  It is at least reasonably possible that a change in the estimated useful lives of the medical formulas could occur in the near term due to changes in the demand for the drugs and medicines produced from these medical formulas. Amortization expense relating to intangible assets was $197,958 and $104,845 for the three months ended September 30, 2025 and 2024, respectively</w:t>
      </w:r>
      <w:r>
        <w:rPr>
          <w:rFonts w:ascii="Times New Roman" w:eastAsia="Times New Roman" w:hAnsi="Times New Roman" w:cs="Times New Roman"/>
          <w:b w:val="0"/>
          <w:bCs w:val="0"/>
          <w:i w:val="0"/>
          <w:iCs w:val="0"/>
          <w:smallCaps w:val="0"/>
          <w:sz w:val="20"/>
          <w:szCs w:val="20"/>
        </w:rPr>
        <w:t> and $513,030 and $306,914 for the nine months ended September 30, 2025 and 2024</w:t>
      </w:r>
      <w:r>
        <w:rPr>
          <w:rFonts w:ascii="Times New Roman" w:eastAsia="Times New Roman" w:hAnsi="Times New Roman" w:cs="Times New Roman"/>
          <w:b w:val="0"/>
          <w:bCs w:val="0"/>
          <w:i w:val="0"/>
          <w:iCs w:val="0"/>
          <w:smallCaps w:val="0"/>
          <w:sz w:val="20"/>
          <w:szCs w:val="20"/>
        </w:rPr>
        <w:t xml:space="preserve"> which was included in the general and administrative expenses. Medical formulas typically do not have a residual value at the end of their amortization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consisted of NMPA approved medical formulas, a Utility Model Patent and three Invention Patents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416"/>
        <w:gridCol w:w="84"/>
        <w:gridCol w:w="137"/>
        <w:gridCol w:w="1155"/>
        <w:gridCol w:w="93"/>
        <w:gridCol w:w="84"/>
        <w:gridCol w:w="137"/>
        <w:gridCol w:w="1155"/>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NMPA approved medical formulas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4,751,058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4,696,267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Technology from Bonier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1,720,957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1,701,110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Invention Patents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7,816,409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5,308,930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14,288,424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11,706,307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(5,840,485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(5,261,827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amount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8,447,939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6,444,480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in process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327,097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250,956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8,775,036</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6,695,436</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OTHER PAYABLES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Payables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675"/>
        <w:gridCol w:w="88"/>
        <w:gridCol w:w="137"/>
        <w:gridCol w:w="1028"/>
        <w:gridCol w:w="88"/>
        <w:gridCol w:w="88"/>
        <w:gridCol w:w="137"/>
        <w:gridCol w:w="1028"/>
        <w:gridCol w:w="88"/>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payable to officer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1,611,506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1,587,506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Business taxes and 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691,677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595,476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Other Payables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2,303,183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2,182,982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had previously received advances from its Chairperson Li. Total amounts owed to her were $1,413,340 and $1,144,985 and are recorded as “Borrowings from related parties” on the accompanying condensed consolidated balance sheets as of September 30, 2025 and December 31, 2024, respectively. Chairperson Li has advanced an additional $0.24 million during the second quarter of 2025 to provide working capital and enabled the Company to make the required payments related to its current lines of credit. On July 8, 2019 the Company entered into a loan agreement in exchange for cash of RMB 4,770,000 ($738,379) with its Chairperson Li. The loan bears interest at a rate of 4.35% and was payable within one year of the loan agreement. The due date of the loan agreement has been extended annually on identical terms, and is currently due July 9, 2026. Total interest expense related to the loan for the three months ended September 30, 2025 and 2024 was $6,798 and $6,843, respectively. Total interest expense related to the loan for the nine months ended September 30, 2025 and 2024 was $20,393 and $20,551, respectively. Compensation payable to the Chairperson Li is included in “Other payables” in the accompanying condensed consolidated balance sheet totaling $1,611,506 and $1,587,506 as of September 30, 2025 and December 31,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–LINES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24, 2023 the Company received an advance on the line in the amount of RMB 3,500,000 (approximately $0.51 million). The Company has no further availability on this line of credit.  The line of credit was paid in full on December 15, 2023, five days before the due date of December 20, 2023. On December 20, 2023, the Company received a new line of credit in the amount of RMB 3,800,000 with an interest rate of 3.9% and is due December 15, 2024. The loan was fully paid on November 7, 2024. The loan was renewed on identical terms and an advance was made in the amount of RMB3,800,000 on November 11, 2024 with the balance maturing on June 21, 2025. On December 2, 2024 the Company repaid the RMB 3,500,000 and renewed the line on identical terms. The RMB 3,500,000 was advanced on the same date, with the due date of the loan maturing on June 21, 2025. On February 21, 2024, the Company entered into a new line of credit in the amount of RMB 3,500,000 with an interest rate of [3.9%] and is due February 20, 2025. On June 17, 2025, the Company repaid the loan balances of RMB 7,300,000 (approximately $1.0 million). On June 25, 2025 the Company obtained a new line of credit facility in the amount of RMB 5,000,000 and received proceeds of RMB 5000,000 (approximately $0.7 million). The new facility has an interest rate of 3.6%. The loan is due on June 20, 2026. In addition, the Company’s Chief Executive Officer and Chair of the Board personally guaranteed the new line of credit and pledged personal assets as collateral for the loan. Total interest expense under this facility for the three months ended September 30, 2025 and 2024 was $6,142 and $10,234, respectively, and $25,791 and $29,524 for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25, 2023 the Company entered into a three-year revolving loan and received proceeds of RMB 10,000,000 (approximately $1.4 million). The interest rate for the loan is 3.35% for the first twelve-months of the loan and adjusts based on the latest one-year loan market quotation rate less 10 basis points as published by the China National Interbank Funding Center on the working day prior to each twelve-month anniversary of the loan. With the reduction of the Loan Prime Rate by the bank on September 20, 2024, the loan interest rate for this transaction was lowered to 3.25% effective September 21, 2024. Additionally, the company repaid RMB 1,102,500 (approximately $153,000) through September 30, 2025. The loan is due on September 24, 2026. The loan is collateralized by the Company’s new production facility and the included production line equipment and machinery. In addition, the Company’s Chief Executive Officer and Chair of the Board personally guaranteed the new line of credit. Total interest paid on this loan was $10,954 and $12,042 for the three months ended September 30, 2025 and 2024, respectively, and $33,249 and $35,943 for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Principal payments on the above lines of credit are all due within one year of the balance sheet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Fair Value of Lines of Credit</w:t>
      </w:r>
      <w:r>
        <w:rPr>
          <w:rFonts w:ascii="Times New Roman" w:eastAsia="Times New Roman" w:hAnsi="Times New Roman" w:cs="Times New Roman"/>
          <w:b w:val="0"/>
          <w:bCs w:val="0"/>
          <w:i w:val="0"/>
          <w:iCs w:val="0"/>
          <w:smallCaps w:val="0"/>
          <w:sz w:val="20"/>
          <w:szCs w:val="20"/>
        </w:rPr>
        <w:t xml:space="preserve"> – Based on the borrowing rates currently available to the Company for bank loans with similar terms and maturities, the carrying amounts of the lines of credit outstanding as of September 30, 2025 and December 31, 2024 approximated their fair values because the underlying instruments bear an interest rate that approximates current market rates.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LEASES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Company has leases for certain office and production facilities in the PRC which are classified as operating leases. The leases contain payment terms for fixed amounts. Options to extend are recognized as part of the lease liabilities and recognized as right of use assets when management estimates to renew the lease. There are no residual value guarantees, no variable lease payments, and no restrictions or covenants imposed by leases. The discount rate used in measuring the lease liabilities and right of use assets was determined by reviewing the Company’s incremental borrowing rate at the initial measurement date. </w:t>
      </w:r>
      <w:r>
        <w:rPr>
          <w:rFonts w:ascii="Times New Roman" w:eastAsia="Times New Roman" w:hAnsi="Times New Roman" w:cs="Times New Roman"/>
          <w:b w:val="0"/>
          <w:bCs w:val="0"/>
          <w:i w:val="0"/>
          <w:iCs w:val="0"/>
          <w:smallCaps w:val="0"/>
          <w:sz w:val="20"/>
          <w:szCs w:val="20"/>
        </w:rPr>
        <w:t xml:space="preserve">For the </w:t>
      </w:r>
      <w:r>
        <w:rPr>
          <w:rFonts w:ascii="Times New Roman" w:eastAsia="Times New Roman" w:hAnsi="Times New Roman" w:cs="Times New Roman"/>
          <w:b w:val="0"/>
          <w:bCs w:val="0"/>
          <w:i w:val="0"/>
          <w:iCs w:val="0"/>
          <w:smallCaps w:val="0"/>
          <w:sz w:val="20"/>
          <w:szCs w:val="20"/>
        </w:rPr>
        <w:t>three months ended September 30, 2025 and 2024</w:t>
      </w:r>
      <w:r>
        <w:rPr>
          <w:rFonts w:ascii="Times New Roman" w:eastAsia="Times New Roman" w:hAnsi="Times New Roman" w:cs="Times New Roman"/>
          <w:b w:val="0"/>
          <w:bCs w:val="0"/>
          <w:i w:val="0"/>
          <w:iCs w:val="0"/>
          <w:smallCaps w:val="0"/>
          <w:sz w:val="20"/>
          <w:szCs w:val="20"/>
        </w:rPr>
        <w:t xml:space="preserve">, operating lease cost was $18,264 and $20,302, respectively and cash paid for amounts included in the measurement of lease liabilities for operating cash flows from operating leases was $19,119 and $21,061, respectively.  For the nine months ended September 30, 2025 and 2024, operating lease cost was $56,732 and $58,931, respectively and cash paid for amounts included in the measurement of lease liabilities for operating cash flows from operating leases was $59,025 and $61,135, respectively.  </w:t>
      </w:r>
      <w:r>
        <w:rPr>
          <w:rFonts w:ascii="Times New Roman" w:eastAsia="Times New Roman" w:hAnsi="Times New Roman" w:cs="Times New Roman"/>
          <w:b w:val="0"/>
          <w:bCs w:val="0"/>
          <w:i w:val="0"/>
          <w:iCs w:val="0"/>
          <w:smallCaps w:val="0"/>
          <w:sz w:val="20"/>
          <w:szCs w:val="20"/>
        </w:rPr>
        <w:t>As of September 30, 2025 and December 31, 2024, the Company reported right of use assets of $197,851 and $38,298, respectively and lease liabilities of $198,583 and $39,323,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Minimum lease payments for the Company’s operating lease liabilities were as follows for the twelve-month period ended September 30: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189"/>
        <w:gridCol w:w="93"/>
        <w:gridCol w:w="137"/>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75,322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75,322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2028</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56,491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undiscounted cash flows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207,135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Imputed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(8,552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198,583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Lease liabilities,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(70,326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net of current portion</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128,257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with terms less than one year for certain provincial sales offices that are not material.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INCOME TAXES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income tax assets and liabilities are measured using enacted tax rates expected to apply to taxable income in the years in which temporary differences are expected to be recovered or settled. The effect of a change in tax laws or rates on deferred tax assets and liabilities is recognized in income in the period that includes the enactment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Liabilities are established for uncertain tax positions expected to be taken in income tax returns when such positions are judged to meet the “more-likely-than-not” threshold based on the technical merits of the positions. Estimated interest and penalties related to uncertain tax positions are included as a component of other expenses. Through December 31, 2024, the Company has not identified any uncertain tax positions that it has taken. U.S. income tax returns for the years ended December 31, 2020 through December 31, 2024 and the Chinese income tax return for the year ended December 31, 2024 are open for possible examination.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current tax law in the PRC, the Company is and will be subject to the enterprise income tax rate of 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provision for income taxes for the three and nine months ended September 30, 2025 and 2024, respectively due to continued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2025, Helpson had net operating loss carryforwards for PRC tax purposes of approximately $36.9 million which are available to offset any future taxable income through 2030. Approximately $6.8 million of these carryforwards will expire in December 2025. The Company also has net operating losses for United States federal income tax purposes of approximately $11.2 million of which $5.1 million is available to offset future taxable income, if any, through 2040, and $6.1 million are available for carryforward indefinitely subject to a limitation of 80% of taxable income for each tax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4, 2025, the One Big Beautiful Bill Act (“OBBBA”) was enacted in the U.S. The OBBBA includes significant provisions, such as the permanent extension of certain expiring provisions of the Tax Cuts and Jobs Act, modifications to the international tax framework and the restoration of favorable tax treatment for certain business provisions. The Company is currently assessing its impact on our condensed consolidated financial statements. U.S. federal tax legislation, commonly referred to as the Tax Cuts and Jobs Act (the “U.S. Tax Reform”), was signed into law on December 22, 2017. The U.S. Tax Reform significantly modified the U.S. Internal Revenue Code by, among other things, reducing the statutory U.S. federal corporate income tax rate from 35% to 21% for taxable years beginning after December 31, 2017; limiting and/or eliminating many business deductions; migrating the U.S. to a territorial tax system with a one-time transition tax on a mandatory deemed repatriation of previously deferred foreign earnings of certain foreign subsidiaries; subject to certain limitations, generally eliminating U.S. corporate income tax on dividends from foreign subsidiaries; and providing for new taxes on certain foreign earnings.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assessing the realizability of deferred tax assets, management considers whether it is more likely than not that some portion or all of the deferred tax assets will not be realized.  The ultimate realization of deferred tax assets is dependent upon the generation of future taxable income during the periods in which those differences become deductible or tax loss carry forwards are utilized.  Management considers projected future taxable income and tax planning strategies in making this assessment.  Based upon an assessment of the level of historical taxable income and projections for future taxable income over the periods on which the deferred tax assets are deductible or can be utilized, management believes it is not likely for the Company to realize all benefits of the deferred tax assets as of September 30, 2025 and December 31, 2024.  Therefore, the Company provided for a valuation allowance against its deferred tax assets of $22.7 million and $21.7 million as of September 30, 2025 and December 31,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incurred various other taxes, comprised primarily of business taxes, value-added taxes, urban construction taxes, education surcharges and others. Any unpaid amounts are reflected on the balance sheets as accrued taxes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FAIR VALUE MEASUREMENTS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defined as the exchange price that would be received for an asset or paid to transfer a liability (an exit price) in the principal or most advantageous market for the asset or liability in an orderly transaction between market participants on the measurement date. To measure fair value, a hierarchy has been established which requires an entity to maximize the use of observable inputs and minimize the use of unobservable inputs. This hierarchy uses three levels of inputs to measure the fair value of assets and liabilities as follows: Level 1 – Quoted prices in active markets for identical assets or liabilities; Level 2 – Observable inputs other than Level 1 including quoted prices for similar assets or liabilities, quoted prices in less active markets, or other observable inputs that can be corroborated by observable market data; and Level 3 – Unobservable inputs supported by little or no market activity for financial instruments whose value is determined using pricing models, discounted cash flow methodologies, or similar techniques, as well as instruments for which the determination of fair value requires significant management judgment or estimation.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fair value to measure the value of the banker’s acceptance notes it holds as of September 30, 2025 and December 31, 2024. The banker’s acceptance notes are recorded at cost which approximates fair value. The Company held the following assets and liabilities recorded at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49"/>
        <w:gridCol w:w="89"/>
        <w:gridCol w:w="181"/>
        <w:gridCol w:w="935"/>
        <w:gridCol w:w="89"/>
        <w:gridCol w:w="89"/>
        <w:gridCol w:w="137"/>
        <w:gridCol w:w="816"/>
        <w:gridCol w:w="89"/>
        <w:gridCol w:w="89"/>
        <w:gridCol w:w="137"/>
        <w:gridCol w:w="834"/>
        <w:gridCol w:w="89"/>
        <w:gridCol w:w="89"/>
        <w:gridCol w:w="137"/>
        <w:gridCol w:w="816"/>
        <w:gridCol w:w="89"/>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26,697</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26,697</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696"/>
        <w:gridCol w:w="90"/>
        <w:gridCol w:w="170"/>
        <w:gridCol w:w="877"/>
        <w:gridCol w:w="90"/>
        <w:gridCol w:w="90"/>
        <w:gridCol w:w="137"/>
        <w:gridCol w:w="822"/>
        <w:gridCol w:w="90"/>
        <w:gridCol w:w="90"/>
        <w:gridCol w:w="137"/>
        <w:gridCol w:w="836"/>
        <w:gridCol w:w="90"/>
        <w:gridCol w:w="90"/>
        <w:gridCol w:w="137"/>
        <w:gridCol w:w="822"/>
        <w:gridCol w:w="9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18,642</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18,642</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18,642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18,642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STOCKHOLDERS’ EQUITY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 authorized to issue 500,000,000 shares of common stock, $0.001 par value, and 5,000,000 shares of preferred stock, $0.001 par value. The preferred stock may be issued in series with such designations, preferences, stated values, rights, qualifications or limitations as determined solely by the Board of China Pharma.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29, 2025 the Company issued 1,760,000 shares of common stock at a price of $1.39 per share based on the closing market price as of that date pursuant to the Yan Yang Agreement as discussed in Note 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China Pharma’s PRC subsidiary, Helpson, are required to allocate at least 10% of their after tax income, as determined under the accounting standards and regulations in the PRC, to statutory surplus reserve accounts until the reserve account balances reach 50% of the company’s registered capital prior to their remittance of funds out of the PRC. Allocations to these reserves and funds can only be used for specific purposes and are not transferrable to the parent company in the form of loans, advances or cash dividends. The amount designated for general and statutory capital reserves is $8,145,000 as of September 30, 2025 and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Effective April 15, 2025, the Company implemented a 1-for-10 reverse split of its common stock. The reverse stock split was approved by the Company’s Board of Directors through unanimous written consent and the Company’s stockholders at its Annual Meeting for the fiscal year ended on December 31, 2023, which was held on </w:t>
      </w:r>
      <w:r>
        <w:rPr>
          <w:rFonts w:ascii="Times New Roman" w:eastAsia="Times New Roman" w:hAnsi="Times New Roman" w:cs="Times New Roman"/>
          <w:b w:val="0"/>
          <w:bCs w:val="0"/>
          <w:i w:val="0"/>
          <w:iCs w:val="0"/>
          <w:smallCaps w:val="0"/>
          <w:sz w:val="20"/>
          <w:szCs w:val="20"/>
        </w:rPr>
        <w:t>December 22, 2024</w:t>
      </w:r>
      <w:r>
        <w:rPr>
          <w:rFonts w:ascii="Times New Roman" w:eastAsia="Times New Roman" w:hAnsi="Times New Roman" w:cs="Times New Roman"/>
          <w:b w:val="0"/>
          <w:bCs w:val="0"/>
          <w:i w:val="0"/>
          <w:iCs w:val="0"/>
          <w:smallCaps w:val="0"/>
          <w:sz w:val="20"/>
          <w:szCs w:val="20"/>
        </w:rPr>
        <w:t>. Upon the effectiveness of the reverse stock split, every 10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1-for-5 reverse split of its common stock. The reverse stock split was approved by the Company’s Board of Directors through unanimous written consent and the Company’s stockholders at its Annual Meeting for the fiscal year ended on December 31, 2022, which was held on December 17, 2023. Upon the effectiveness of the reverse stock split, every 5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All share and per share amounts have been retroactively restated for all periods presented in the accompanying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2025 AND 2024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2010 Incentive Plan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the Company’s Board adopted the Company’s 2010 Incentive Plan (the “Plan”), which was then approved by stockholders on December 22, 2010. On October 17, 2019, the Board of Directors approved the First Amendment to the 2010 Incentive Plan (the “Amendment”), pursuant to which the term of the 2010 Incentive Plan was extended to December 31, 2029. The Amendment was adopted by the stockholders on December 19, 2019. On October 25, 2021, the Board of Directors approved, and on December 27, 2021 our stockholders adopted the Amendment No.2 to the Plan to increase the number of shares of the Common Stock, that are reserved thereunder by 10,000 shares from 8,000 shares to 18,000 shares. On October 27, 2022 the Board of Directors approved and on December 27, 2022, the stockholders adopted the Amended and Restated Long Term 2010 Incentive Plan to increase the number of shares of common stock that are reserved thereunder by an additional 10,000 shares from 18,000 to 28,000. On December 17, 2023 the stockholders approved Amendment No. 1 to the Amended and Restated Long Term 2010 Incentive Plan to increase the number of shares from 28,000 to 58,000. On December 22, 2024 the stockholders approved Amendment No. 2 to the Amended and Restated Long Term 2010 Incentive Plan to increase the number of shares from 58,000 to 69,600. The Plan gives the Company the ability to grant stock options, restricted stock, stock appreciation rights and performance units to its employees, directors and consultants, or those who will become employees, directors and consultants of the Company and/or its subsidiaries. The Plan currently allows for equity awards of up to 69,600 shares of common stock. Through September 30, 2025, there were 8,470 shares of stock and stock options granted and outstanding under the Plan.  A total of 1,330 options were outstanding as of September 30, 2025 under the Plan. As such, there are 59,800 additional units available for issuance under the Plan.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issuances of securities from the Plan for the nine months ended September 30, 2025 and as such, no compensation expense was recognized for the period.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2025, there was no remaining unrecognized compensation expense related to stock options or restricted 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Current vulnerability due to certain concentrations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2025, no customer accounted for more than 10% of revenue and two customers accounted for 45.0% and 15.0% of accounts receivable. Three suppliers accounted for 25.7%, 21.1% and 12.2% of raw material purchases, and three different products accounted for 30.9%, 24.4% and 11.2% of revenue.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2024, no customer accounted for greater than 10.0% of sales and two customers accounted for 63.4% and 13.7% of accounts receivable. Three suppliers accounted for 36.4%, 18.1% and 18.1% of raw material purchases, and two different products accounted for 36.8% and 27.9% of revenue.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Nature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Economic environment - </w:t>
      </w:r>
      <w:r>
        <w:rPr>
          <w:rFonts w:ascii="Times New Roman" w:eastAsia="Times New Roman" w:hAnsi="Times New Roman" w:cs="Times New Roman"/>
          <w:b w:val="0"/>
          <w:bCs w:val="0"/>
          <w:i w:val="0"/>
          <w:iCs w:val="0"/>
          <w:smallCaps w:val="0"/>
          <w:sz w:val="20"/>
          <w:szCs w:val="20"/>
        </w:rPr>
        <w:t>Substantially all of the Company’s operations are conducted in the PRC, and therefore the Company is subject to special considerations and significant risks not typically associated with companies operating in the United States of America. These risks include, among others, the political, economic and legal environments and fluctuations in the foreign currency exchange rate. The Company’s results from operations may be adversely affected by changes in the political and social conditions in the PRC, and by changes in governmental policies with respect to laws and regulations, anti-inflationary measures, currency conversion and remittance abroad, and rates and methods of taxation, among other things. The unfavorable changes in global macroeconomic factors may also adversely affect the Company’s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all of the Company’s revenue is denominated in the PRC’s currency of Renminbi (RMB), which must be converted into other currencies before remittance out of the PRC. Both the conversion of RMB into foreign currencies and the remittance of foreign currencies abroad require approval of the PRC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7" w:name="KJ_003"/>
      <w:bookmarkEnd w:id="7"/>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or the negative thereof or other variations thereon, or by discussions of strategy that involve risks and uncertainties. Management wishes to caution the readers that any such forward-looking statements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and some of which are discussed in our other filings with the Securities and Exchange Commission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Overview &amp; Recent Developments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 Inc. (“China Pharma”) is not a Chinese operating company but a Nevada holding company. All of our operations are conducted in the PRC through Hainan Helpson Medical &amp; Biotechnology Co., Ltd (“Helpson”), our wholly owned subsidiary incorporated under the laws of the People’s Republic of China (the “PRC”), where the manufacturing facilities are located. Helpson is principally engaged in the development, manufacture and marketing of pharmaceutical products for human use in connection with a variety of high-incidence and high-mortality diseases and medical conditions prevalent in the PRC. It manufactures pharmaceutical products in the form of dry powder injectables, liquid injectables, tablets, capsules, and cephalosporin oral solutions. The majority of its pharmaceutical products are sold on a prescription basis and all of them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consistency evaluation of generic drugs continues to proceed for the three months ended September 30, 2025. Helpson has always taken the task of promoting the consistency evaluation as a top priority, and worked on them actively. However, for each drug’s consistency evaluation, due to the continuous dynamic changes of the detailed consistency evaluation policies, market trends, expected investments, and expected returns of investment (“ROI”), the whole industry, including Helpson, has been making slow progresses in terms of the consistency evaluation. One of the flagship products, Candesartan tablets, a hypertension product, has passed generic-drug-consistency-evaluation in early August 2023. However, no other new products of ours have achieved the same status as of the date of this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taken a more cautious and flexible attitude towards initiating and progressing any project for existing products’ consistency evaluation to cope with the changing macro environment of drug sales in China. In 2018, relevant Chinese authorities decided to implement trial Centralized Procurement (“CP”) activities in 11 selected pilot cities (including 4 municipalities and 7 other cities), since then, ten rounds of CP activities have been carried out as of August 7, 2025, which significantly reduced the price of the drugs that won the bids. In addition, the consistency evaluation has been adopted as one of the qualification standards for participating in the CP activities. As a result, Helpson needs to balance between the market access brought by CP, the investment of financial resources and time to obtain the qualification of CP, and the sharp decline in the price of drugs included in CP before making decisions regarding CP for any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continues to explore the field of comprehensive healthcare. Comprehensive healthcare is a general concept proposed by the Chinese government according to the development of the times, social needs and changes in disease spectrum. According to the Outline of “Healthy China 2030” issued by Chinese government in October 2016, the total size of China’s health service industry is expected to reach RMB 16 trillion (approximately $2.5 trillion) by 2030. This industry focuses on people’s daily life, aging and diseases, pays attention to all kinds of risk factors and misunderstandings affecting health, calls for self-health management, and advocates the comprehensive care throughout the entire process of life. It covers all kinds of health-related information, products, and services, as well as actions taken by various organizations to meet the health needs. In response to this trend, Helpson launched Noni enzyme, a natural, Xeronine-rich antioxidant food supplement at the end of 2018. It also launched wash-free sanitizers and masks, in 2020, to address the market needs caused by COVID-19 in China. As Chinese government officially terminated its zero-case policy, now the responsibility to protect people from the impact of COVID-19 falls more to the citizens themselves, and masks and sanitizers have been popular since COVID-19. Helpson has sufficient production capacity for medical masks, surgical masks, KN95 masks, and N95 masks, which also meets the personal needs for protection against other respiratory infectious diseases. Helpson’s N95 medical protective mask has received registration certificate at the end of 2022 and has been on the market in the mainland China nationwide.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will continue to optimize its product structure and actively respond to the current health needs of human beings.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three months ended September 30,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was $0.8 million for the three months ended September 30, 2025, as compared to $1.1 million in the same period 2024. This decline was mainly due to an increasing number of drugs from other medicine providers being included in national CP, while Helpson’s peer products have not passed consistency evaluation. As a result, they are not qualified to participate in CP, the resulting sales has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three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62"/>
        <w:gridCol w:w="91"/>
        <w:gridCol w:w="93"/>
        <w:gridCol w:w="830"/>
        <w:gridCol w:w="92"/>
        <w:gridCol w:w="91"/>
        <w:gridCol w:w="93"/>
        <w:gridCol w:w="830"/>
        <w:gridCol w:w="91"/>
        <w:gridCol w:w="91"/>
        <w:gridCol w:w="95"/>
        <w:gridCol w:w="837"/>
        <w:gridCol w:w="91"/>
        <w:gridCol w:w="91"/>
        <w:gridCol w:w="139"/>
        <w:gridCol w:w="836"/>
        <w:gridCol w:w="20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Three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revenue of our “Anti-Viral/ Infection &amp; Respiratory” product category was $0.42 million in the three months ended September 30, 2025, as compared to 0.67 million in the same period last year, which represented a decrease of $0.25 million. This decrease was mainly due to the decrease in sales of Cefaclor Dispersible Tablets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“CNS Cerebral &amp; Cardio Vascular” product category generated $0.25 million in sales revenue in the three months ended September 30, 2025 compared to $0.33 million for the same period last year, which represented a decrease of $0.08 million. This decrease was mainly due to the decrease in sales of Candesartan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“Digestive Diseases” product category generated $0.07 million in the three months ended September 30, 2025, as compared to 0.06 million in the same period last year, which represented an increase of $0.01 million. This increase was mainly due to the increase in sales of Omeprazole.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“Others” product category generated $0.02 million in sales revenue in the three months ended September 30, 2025 compared to $0.04 million for the same period last year, which represented a decrease of $0.02 million. This decrease was mainly due to the decrease in sales of Vitamin B6 for Injection caused by the implementation of centralized procurement policy, a stricter drug centralized procurement policy, as well as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96"/>
        <w:gridCol w:w="91"/>
        <w:gridCol w:w="113"/>
        <w:gridCol w:w="826"/>
        <w:gridCol w:w="200"/>
        <w:gridCol w:w="91"/>
        <w:gridCol w:w="113"/>
        <w:gridCol w:w="826"/>
        <w:gridCol w:w="20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Three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September 30, 2025, revenue breakdown by product category showed certain changes to that of the same period in 2024. Sales of the “CNS Cerebral &amp; Cardio Vascular” product category represented 33% and 30% of total revenue in the three months ended September 30, 2025 and 2024, respectively. The “Anti-Viral/Infection &amp; Respiratory” products category represented 55% and 61% of total sales in the three months ended September 30, 2025 and 2024, respectively. The “Digestive Diseases” product category represented 10% and 5% of total revenue in the three months ended September 30, 2025 and 2024, respectively. The “Other” product category represented 2% and 4% of revenues in the three months ended September 30, 2025 and 2024, respectively.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September 30, 2025, our cost of revenue was $0.8 million, or 107.9% of total revenue, comparing to $1.6 million, or 147.2% of total revenue, for the same period in 2024. The decrease in cost of revenues in the three months ended September 30, 2025 was mainly because that the decrease in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Gross loss and Gross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three months ended September 30, 2025 was $0.06 million, as compared to $0.52 million during the same period in 2024. Our gross loss margin in the three months ended September 30, 2025 was 7.9% as compared to 47.2% during the same period in 2024. The improvement in gross loss was primarily driven by lower depreciation, as certain PP&amp;E became fully depreciated, and a reduction in inventory obsolescence.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three months ended September 30, 2025 and 2024 were $0.08 million and $0.13 million, respectively. Selling expenses accounted for 10.3% of the total revenue in the three months ended September 30, 2025, as compared to 12.2% during the same period in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$0.42 million and $0.35 million for the three months ended September 30, 2025 and 2024, respectively. General and administrative expenses accounted for 56.2% and 31.4% of our total revenues in the three months ended September 30, 2025 and 2024, respectively. The increase in general and administrative expenses in the three months ended September 30, 2025 was mainly because that the increase in amortization of intangible asset.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three months ended September 30, 2025 were $0.04 million, as compared to $0.09 million in the same period in 2024. Research and development expenses accounted for 5.3% and 8.0% of our total revenues in the three months ended September 30, 2025 and 2024, respectively. These expenditures were mainly used for our increased efforts in the consistency evaluations of our existing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Credit Losses (Reverse to Credit Losses)</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credit losses for the three months ended September 30, 2025 was $25,302, as compared to reversal of credit losses of $1,656 for the same period in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amount of net accounts receivable that was past due (or the amount of accounts receivable that was more than 180 days old) was $0.11 million and $0.06 million as of September 30, 2025 and December 31,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tables illustrate our accounts receivable aging distribution in terms of percentage of total accounts receivable, respective gross accounts receivables as well as the allocated allowance for credit losses as of September 30, 2025 and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our normal customer credit or payment terms are 180 days. This has not changed in recent years. Such relatively long credit term is due to the peculiar environment affecting the Chinese pharmaceutical market, as deferred payments by state-owned hospitals to local drug distributors are common, and their deferred payments will indirectly delay the payments from our customers to us. Due to the timeliness requirements of the NMPA for logistics of drug sales, Helpson, like most other pharmaceutical companies in China, sells substantially all the drugs to local drug distributors, certified by GSP (Good Supply Practice), the standard of products supply, which is a standard protocol to control the quality of the products during circulation. These GSP certified distributors then sell the drugs to state-owned hospitals. The GSP certified distributors’ payments to us are usually delayed as they will pay us after they receive payment from the state-owned hospitals. Therefore, as most of our customers are GSP certified distributors, we adopt a unified policy for bad debt allowance reserves for GMP’s customers who are typically GSP certified distributors. As is typical in the Chinese pharmaceutical market, there are no written contracts between the Company and any of its GSP certified distributors requesting the distributors to pay the Company’s account receivable upon their receipt of funds from the distributors’ customers, or state-owned hospitals. Nevertheless, the Company’s customers typically process the payment of the account receivable to the Company upon their receipt of payment from their customers, i.e., the state-owned hospitals, as a matter of implied consensus or industry standard. In the event the length of collection term is deviated from any of the past pattern of any particular customer, the Company will adjust its credit term.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617"/>
        <w:gridCol w:w="88"/>
        <w:gridCol w:w="105"/>
        <w:gridCol w:w="1011"/>
        <w:gridCol w:w="200"/>
        <w:gridCol w:w="88"/>
        <w:gridCol w:w="98"/>
        <w:gridCol w:w="949"/>
        <w:gridCol w:w="20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1 - 180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40.12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180 - 365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365 - 720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&gt;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98.27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363"/>
        <w:gridCol w:w="84"/>
        <w:gridCol w:w="84"/>
        <w:gridCol w:w="841"/>
        <w:gridCol w:w="84"/>
        <w:gridCol w:w="84"/>
        <w:gridCol w:w="84"/>
        <w:gridCol w:w="1155"/>
        <w:gridCol w:w="84"/>
        <w:gridCol w:w="84"/>
        <w:gridCol w:w="84"/>
        <w:gridCol w:w="827"/>
        <w:gridCol w:w="84"/>
        <w:gridCol w:w="84"/>
        <w:gridCol w:w="84"/>
        <w:gridCol w:w="1155"/>
        <w:gridCol w:w="84"/>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Gross Trade Accounts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Receivable 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Allocated Allowance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4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30-Sep-25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4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30-Sep-24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4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30-Sep-25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4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30-Sep-24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118,154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301,804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108,037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30,834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2,565.56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Over 720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13,929,692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13,929,692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294,514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14,269,014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Since the fourth quarter of 2018, our bad debt allowance estimate practice has been updated to a policy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is between 180 days and 365 days old, 70% of accounts receivable that is between 365 days and 720 days old, and 100% of accounts receivable that is greater than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allowance for credit losses as a percentage of accounts receivable of trade accounts receivable was 23.7% and 97.7% as of September 30, 2025 and 2024, respectively. The decrease of 74.0% was due to the written-off of accounts receivable over 8-year-old in August 2025.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 analysis and review on accounts receivables for customers on a specific, per-customer basis in the fourth fiscal quarter of each fiscal year. For customers (i) whose business license has been cancelled or expired; (ii) whose key business certificates such as GSP (Good Supply Practice) license have been invalid or revoked; (iii) who have no ability to continue operations, or (iv) who are encountering other issues that lead to accounts receivable unrecoverable, the receivable will be written-off as per the resolution of our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credit losses. To the extent that our current allowance for credit losses is higher than that of the previous period, we recognize a bad debt expense for the difference during the current period, and when the current allowance is lower than that of the previous period, we recognize a bad debt credit for the difference. The allowance for credit losses balances were $0.07 million and $13.9 million as of September 30, 2025 and December 31, 2024, respectively. The changes in the allowances for credit losses during the three months ended September 30,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340"/>
        <w:gridCol w:w="83"/>
        <w:gridCol w:w="137"/>
        <w:gridCol w:w="1233"/>
        <w:gridCol w:w="93"/>
        <w:gridCol w:w="83"/>
        <w:gridCol w:w="137"/>
        <w:gridCol w:w="1155"/>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13,644,006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Credit Losses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25,302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charged to allowance for credit lossed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(13,702,032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13,329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231,222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more accurately reflect its financial position, the Company wrote off accounts receivable aged over eight years in August 2025, resulting in credit loss write-offs of $13.7 million for the three months ended September 30, 2025, compared with no write-offs in the same period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credit losses for the three months ended September 30, 2025 was $25,302, as compared to $1,656 for the same period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three months ended September 30, 2025 and 2024 was $0.6 million and $1.1 million,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Other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Other expense was $0.02 million for the three months ended September 30, 2025 and $0.03 million for the same period in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was $0.7 million and $1.1 million for the three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per basic and diluted common share was $0.17 for the three months ended September 30, 2025, as compared to $0.65 for the three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3,874,085 for the three months ended September 30, 2025, and 1,730,672 for the three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nine months ended September 30,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was $2.9 million and $3.4 million for the nine months ended September 30, 2025 and 2024, respectively.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59"/>
        <w:gridCol w:w="91"/>
        <w:gridCol w:w="93"/>
        <w:gridCol w:w="831"/>
        <w:gridCol w:w="93"/>
        <w:gridCol w:w="91"/>
        <w:gridCol w:w="93"/>
        <w:gridCol w:w="831"/>
        <w:gridCol w:w="91"/>
        <w:gridCol w:w="91"/>
        <w:gridCol w:w="95"/>
        <w:gridCol w:w="837"/>
        <w:gridCol w:w="91"/>
        <w:gridCol w:w="91"/>
        <w:gridCol w:w="139"/>
        <w:gridCol w:w="836"/>
        <w:gridCol w:w="200"/>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Nine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in our “Anti-Viral/ Infection &amp; Respiratory” product category, which generated $1.67 million in sales revenue in the nine months ended September 30, 2025 compared to $2.07 million in the same period last year, a decrease of $0.40 million. This decrease was mainly due to sales decrease of Cefaclor Dispersible Tablet due to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“CNS Cerebral &amp; Cardio Vascular” product category generated $1.00 million in sales revenue in the nine months ended September 30, 2025, compared to $1.02 million in the same period last year, which represented a decrease of $0.02 million that was mainly caused by decrease in sales of Gastrodin Injection.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in our “Digestive Diseases” product category generated $0.19 million in the nine months ended September 30, 2025, as compared to $0.14 million in the nine months ended September 30, 2024. This increase was mainly due to the increase in sales of Omeprazole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in “Other” product category generated $0.06 and $0.16 million in sales revenue in the nine months ended September 30, 2025 and 2024, respectively. The decrease was mainly caused by the decrease in sales of Vitamin B6 for Injection caused by the implementation of centralized procurement policy, a stricter drug centralized procurement policy, as well as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95"/>
        <w:gridCol w:w="91"/>
        <w:gridCol w:w="113"/>
        <w:gridCol w:w="826"/>
        <w:gridCol w:w="200"/>
        <w:gridCol w:w="91"/>
        <w:gridCol w:w="113"/>
        <w:gridCol w:w="826"/>
        <w:gridCol w:w="200"/>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Nine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2025, revenue breakdown by product category showed certain changes to that of the same period in 2024. Sales in the “CNS Cerebral &amp; Cardio Vascular” category represented 34% and 30% of total revenue for the nine months ended September 30, 2025 and 2024, respectively. The “Anti-Viral/Infection &amp; Respiratory” products category represented 57% and 61% of total sales for the nine months ended September 30, 2025 and 2024, respectively. The “Digestive Diseases” category represented 7% and 4% of total revenue for the nine months ended September 30, 2025 and 2024. And the “Other” category represented 2% and 5% of revenues for the nine months ended September 30,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2025, our cost of revenue was $3.2 million, or 109.7% of total revenue, comparing to $5.2 million, or 153.8% of total revenue, for the same period in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Loss and Gross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nine months ended September 30, 2025 was $0.3 million, compared to $1.8 million in the same period in 2024. Our gross loss margin in the nine months ended September 30, 2025 was 9.7% compared to 53.8% in the same period in 2024. The improvement in gross loss is triggered by the decrease in depreciation, as certain PP&amp;E became fully depreciated, and a reduction in inventory obsolescence.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nine months ended September 30, 2025 and 2024 were $0.27 million and $0.35 million, respectively. Selling expenses accounted for 9.1% of the total revenue in the nine months ended September 30, 2025 compared to 10.4% in the same period in 2024.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$1.37 million for the nine months ended September 30, 2025, as compared to $0.93 million in the same period in 2024. Our general and administrative expenses accounted for 47.0% and 27.3% of our total revenues in the nine months ended September 30, 2025 and 2024, respectively. The increase in general and administrative expenses for the nine months ended September 30, 2025 was mainly due to the increase in amortization of intangible asset in this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nine months ended September 30, 2025 and 2024 were $0.09 million and $0.28 million, respectively, representing a decrease of $0.19 million compared to the same period of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Credit Losses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credit losses were $26,011 for the nine months ended September 30, 2025, and $4,754 for the nine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changes in the allowances for credit losses during the nine months ended September 30,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349"/>
        <w:gridCol w:w="84"/>
        <w:gridCol w:w="137"/>
        <w:gridCol w:w="1233"/>
        <w:gridCol w:w="93"/>
        <w:gridCol w:w="84"/>
        <w:gridCol w:w="137"/>
        <w:gridCol w:w="1155"/>
        <w:gridCol w:w="84"/>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13,587,182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Credit Losses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charged to allowance for credit losses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(13,702,032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158,715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144,815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69,876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nine months ended September 30, 2025 was $2.0 million, as compared to $3.5 million for the nine months ended September 30, 2024. The decrease in net loss for the nine months ended September 30, 2025 was mainly due to the decrease in depreciation, as certain PP&amp;E became fully depreciated, and a reduction in inventory obsolescence.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2025, loss per basic and diluted common share was $0.57, compared to loss per basic and diluted common share of $2.25 for the nine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3,468,211 for the nine months ended September 30, 2025, and 1,559,347 for the nine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principal source of liquidity is cash generated from operations and bank lines of credit. Currently the Company has not witnessed or expected to encounter any difficulties to refinance those lines of credit this year. As of September 30, 2025, the aggregated advance from our CEO was $ 1.4 million for use in operations. Our cash and cash equivalents were $0.27 million, representing 1.7% of our total assets, as of September 30, 2025, as compared to $0.63 million, representing 4.2% of our total assets as of December 31, 2024. All of the $0.27 million of cash and cash equivalents as of September 30, 2025 are considered to be reinvested indefinitely in the Company’s Chinese subsidiary, Helpson and are not expected to be available for payment of dividends or for other payments to its parent company or to its shareholders.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obtained various lines of credit in details described under Note 7 to its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issued a convertible note to an institutional accredited investor as disclosed in Note 9 to the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the Company renewed lines of credit in 2025 there can be no assurance that the Company will be able to achieve its future strategic goals, including the launch of new products. This raises substantial doubt about the Company’s ability to continue as a going concern. Although our Chairperson and Chief Executive Officer had advanced funds for working capital in the third quarter for fiscal year ending December 31, 2025 there can be no assurances that this will continue in the future. We may seek additional debt or equity financing as necessary when we believe the market conditions are the most advantageous to us and/or require us to reduce certain discretionary spending, which could have a material adverse effect on our ability to achieve our business objectives.  There can be no assurance that any additional financing will be available on acceptable terms, if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Operating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in operating activities was $3,729 for the nine months ended September 30, 2025, compared to $704,836 in the same period in 2024.</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2025, our net trade accounts receivable was $0.22 million, compared to $0.23 million as of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inventory was $1.65 million as of September 30, 2025, compared to$2.27 million as of December 31,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Investing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$131,484 used in investing activities during the nine months ended September 30, 2025, compared to $18,866 for the same period in 2024.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Financing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 used in financing activities was $221,435 in the nine months ended September 30, 2025; compared to $20,551 cash generated from financing activities for the same period in 2024. The change in cash flows from financing activities was mainly due to the partial repayment of bank loans during the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our PRC subsidiary, Helpson, are required to allocate at least ten percent (10%) of their after-tax net income, as determined under the accounting standards and regulations in the PRC, to statutory surplus reserve accounts until the reserve account balances reach fifty percent (50%) of the companies’ registered capital prior to their remittance of funds out of the PRC.  Allocations to these reserves and funds can only be used for specific purposes and are not transferrable to the parent company in the form of loans, advances or cash dividends. As of September 30, 2025 and December 31, 2024, Helpson’s net assets totaled ($7,710,000) and ($6,197,000), respectively. Due to the restriction on dividend distribution to overseas shareholders, the amount of Helpson’s net assets that was designated for general and statutory capital reserves, and thus could not be transferred to our parent company as cash dividends, was 50% of Helpson’s registered capital, which was both $8,145,000 as of September 30, 2025 and December 31, 2024, respectively. The amount that Helpson must set aside for the statutory surplus fund accounts exceeds its total net assets as of September 30, 2025 and December 31, 2024. There were no allocations to the statutory surplus reserve accounts during the nine months ended September 30,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government also imposes controls on the conversion of RMB into foreign currencies and the remittance of currencies out of China. Our businesses and assets are primarily denominated in RMB. All foreign exchange transactions take place either through the People’s Bank of China or other banks authorized to buy and sell foreign currencies at the exchange rates quoted by the People’s Bank of China. Approval of foreign currency payments by the People’s Bank of China or other regulatory institutions requires the submission of a payment application form together with certain invoices and executed contracts. The currency exchange control procedures imposed by Chinese government authorities may restrict Helpson, our Chinese subsidiary, from transferring its net assets to our parent company through loans, advances or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2025, we did not have any 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Management’s discussion and analysis of our financial condition and results of operations are based upon our consolidated financial statements, which have been prepared in accordance with United States generally accepted accounting principles. Our financial statements reflect the selection and application of accounting policies which require management to make significant estimates and judgments. The discussion of our critical accounting policies contained in Note 1 to our consolidated financial statements, “Organization and Significant Accounting Policies”, included in the Company’s annual report on Form 10-K for fiscal year ended December 31, 2024, which is incorporated herein by reference.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8" w:name="KJ_004"/>
      <w:bookmarkEnd w:id="8"/>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“smaller reporting company” as defined by Item 10 of Regulation S-K, we are not required to provide information required by this item.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9" w:name="KJ_005"/>
      <w:bookmarkEnd w:id="9"/>
      <w:r>
        <w:rPr>
          <w:rFonts w:ascii="Times New Roman" w:eastAsia="Times New Roman" w:hAnsi="Times New Roman" w:cs="Times New Roman"/>
          <w:b/>
          <w:bCs/>
          <w:i w:val="0"/>
          <w:iCs w:val="0"/>
          <w:smallCaps w:val="0"/>
          <w:sz w:val="20"/>
          <w:szCs w:val="20"/>
        </w:rPr>
        <w:t>Item 4.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Chief Executive Officer and interim Chief Financial Officer, evaluated the effectiveness of our “disclosure controls and procedures” (as defined in the Securities Exchange Act of 1934 (the “Exchange Act”) Rules 13a-15(e) or 15d-15(e)) as of the end of the period covered by this quarterly report. Disclosure controls and procedures are controls and other procedures that are designed to ensure that information required to be disclosed in our reports filed or submitted under the Exchange Act (a) is recorded, processed, summarized and reported within the time periods specified in the Securities and Exchange Commission’s rules and forms and (b) is accumulated and communicated to management, including our Chief Executive Officer and interim Chief Financial Officer, as appropriate, to allow timely decisions regarding required disclosure. Our management recognizes that any controls and procedures, no matter how well designed and operated, can provide only reasonable assurance of achieving their objectives and management necessarily applies its judgment in evaluating the cost-benefit relationship of possible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disclosure controls and procedures are designed to provide reasonable assurance of achieving their objectives as described above. Based on this evaluation, our Chief Executive Officer and interim Chief Financial Officer concluded that our disclosure controls and procedures were not effective as of September 30, 2025 to satisfy the objectives for which they are intended. This was due to the material weakness in our internal control over financial reporting, with respect to our lack of accounting financial reporting personnel who were knowledgeable in U.S. GAAP, as disclosed in our annual report on Form 10-K for the fiscal year ended December 31, 2024, filed with the SEC on March 31, 2025. Notwithstanding the aforementioned material weakness, management has concluded that our condensed consolidated financial statements included in this report are fairly stated in all material respects in accordance with U.S. GAAP for each period presented 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Controls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changes in our internal control over financial reporting identified in connection with the evaluation required by paragraph (d) of Exchange Act Rules 13a-15 or 15d-15 that occurred during our last fiscal quarter that have materially affected, or are reasonably likely to materially affect, our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0" w:name="KJ_006"/>
      <w:bookmarkEnd w:id="10"/>
      <w:r>
        <w:rPr>
          <w:rFonts w:ascii="Times New Roman" w:eastAsia="Times New Roman" w:hAnsi="Times New Roman" w:cs="Times New Roman"/>
          <w:b/>
          <w:bCs/>
          <w:i w:val="0"/>
          <w:iCs w:val="0"/>
          <w:smallCaps w:val="0"/>
          <w:sz w:val="20"/>
          <w:szCs w:val="20"/>
        </w:rPr>
        <w:t>PART II OTHER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1" w:name="KJ_007"/>
      <w:bookmarkEnd w:id="11"/>
      <w:r>
        <w:rPr>
          <w:rFonts w:ascii="Times New Roman" w:eastAsia="Times New Roman" w:hAnsi="Times New Roman" w:cs="Times New Roman"/>
          <w:b/>
          <w:bCs/>
          <w:i w:val="0"/>
          <w:iCs w:val="0"/>
          <w:smallCaps w:val="0"/>
          <w:sz w:val="20"/>
          <w:szCs w:val="20"/>
        </w:rPr>
        <w:t>Item 6. Exhibits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exhibits required by this item are set forth in the Exhibit Index attached hereto.</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613"/>
        <w:gridCol w:w="374"/>
        <w:gridCol w:w="3368"/>
      </w:tblGrid>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CHINA PHARMA HOLDINGS, INC.</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November 12, 2025</w:t>
            </w:r>
          </w:p>
        </w:tc>
        <w:tc>
          <w:tcPr>
            <w:tcW w:w="20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r>
              <w:rPr>
                <w:rFonts w:ascii="Times New Roman" w:eastAsia="Times New Roman" w:hAnsi="Times New Roman" w:cs="Times New Roman"/>
                <w:b w:val="0"/>
                <w:bCs w:val="0"/>
                <w:i w:val="0"/>
                <w:iCs w:val="0"/>
                <w:smallCaps w:val="0"/>
                <w:color w:val="000000"/>
                <w:sz w:val="20"/>
                <w:szCs w:val="20"/>
              </w:rPr>
              <w:t>:</w:t>
            </w:r>
          </w:p>
        </w:tc>
        <w:tc>
          <w:tcPr>
            <w:tcW w:w="1800" w:type="pct"/>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President and Chief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November 12, 2025</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Interim Chief Financial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(principal financial officer and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accounting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EXHIBIT INDEX</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72"/>
        <w:gridCol w:w="93"/>
        <w:gridCol w:w="8389"/>
      </w:tblGrid>
      <w:tr>
        <w:tblPrEx>
          <w:tblW w:w="5000" w:type="pct"/>
          <w:tblInd w:w="5" w:type="dxa"/>
          <w:tblCellMar>
            <w:top w:w="0" w:type="dxa"/>
            <w:left w:w="0" w:type="dxa"/>
            <w:bottom w:w="0" w:type="dxa"/>
            <w:right w:w="0" w:type="dxa"/>
          </w:tblCellMar>
        </w:tblPrEx>
        <w:tc>
          <w:tcPr>
            <w:tcW w:w="450" w:type="pct"/>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w:t>
            </w:r>
          </w:p>
        </w:tc>
        <w:tc>
          <w:tcPr>
            <w:tcW w:w="50" w:type="pct"/>
            <w:noWrap w:val="0"/>
            <w:tcMar>
              <w:top w:w="5" w:type="dxa"/>
              <w:left w:w="5" w:type="dxa"/>
              <w:bottom w:w="3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0" w:type="pct"/>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r>
      <w:tr>
        <w:tblPrEx>
          <w:tblW w:w="5000" w:type="pct"/>
          <w:tblInd w:w="5" w:type="dxa"/>
          <w:tblCellMar>
            <w:top w:w="0" w:type="dxa"/>
            <w:left w:w="0" w:type="dxa"/>
            <w:bottom w:w="0" w:type="dxa"/>
            <w:right w:w="0" w:type="dxa"/>
          </w:tblCellMar>
        </w:tblPrEx>
        <w:tc>
          <w:tcPr>
            <w:tcBorders>
              <w:top w:val="single" w:sz="12" w:space="0" w:color="000000"/>
            </w:tcBorders>
            <w:shd w:val="clear" w:color="auto" w:fill="CCEEFF"/>
            <w:noWrap w:val="0"/>
            <w:tcMar>
              <w:top w:w="1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top w:val="single" w:sz="12" w:space="0" w:color="000000"/>
            </w:tcBorders>
            <w:shd w:val="clear" w:color="auto" w:fill="CCEEFF"/>
            <w:noWrap w:val="0"/>
            <w:tcMar>
              <w:top w:w="1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The Third Amended and Restated Articles of Incorporation of the Company (incorporated by reference to Exhibit 3.1 to our Quarterly Report on Form 10-Q filed on May 14, 2025).</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31.1 -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of Principal Financial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and Principal Financial Officer pursuant to Section 906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101.INS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101.SCH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Schema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101.CAL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101.DEF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Definition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101.LAB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101.PRE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Presentation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104 -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sectPr>
      <w:pgSz w:w="12240" w:h="15840"/>
      <w:pgMar w:top="360" w:right="360" w:bottom="360" w:left="36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ec.gov/Archives/edgar/data/1106644/000121390025043334/ea024183201ex3-1_china.htm" TargetMode="External" /><Relationship Id="rId5" Type="http://schemas.openxmlformats.org/officeDocument/2006/relationships/hyperlink" Target="file:////opt/tomcat_broadridge/temp/ea026357601ex31-1_china.htm" TargetMode="External" /><Relationship Id="rId6" Type="http://schemas.openxmlformats.org/officeDocument/2006/relationships/hyperlink" Target="file:////opt/tomcat_broadridge/temp/ea026357601ex31-2_china.htm" TargetMode="External" /><Relationship Id="rId7" Type="http://schemas.openxmlformats.org/officeDocument/2006/relationships/hyperlink" Target="file:////opt/tomcat_broadridge/temp/ea026357601ex32-1_china.htm" TargetMode="Externa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